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36" w:rsidRPr="00674CFE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u w:val="single"/>
          <w:lang w:eastAsia="es-MX"/>
        </w:rPr>
      </w:pPr>
      <w:bookmarkStart w:id="0" w:name="_GoBack"/>
      <w:r w:rsidRPr="00674CFE">
        <w:rPr>
          <w:rFonts w:ascii="Calibri" w:eastAsia="Times New Roman" w:hAnsi="Calibri" w:cs="Calibri"/>
          <w:b/>
          <w:bCs/>
          <w:color w:val="444444"/>
          <w:sz w:val="27"/>
          <w:szCs w:val="27"/>
          <w:u w:val="single"/>
          <w:lang w:eastAsia="es-MX"/>
        </w:rPr>
        <w:t>Circular 17</w:t>
      </w:r>
      <w:r w:rsidR="00674CFE">
        <w:rPr>
          <w:rFonts w:ascii="Calibri" w:eastAsia="Times New Roman" w:hAnsi="Calibri" w:cs="Calibri"/>
          <w:b/>
          <w:bCs/>
          <w:color w:val="444444"/>
          <w:sz w:val="27"/>
          <w:szCs w:val="27"/>
          <w:u w:val="single"/>
          <w:lang w:eastAsia="es-MX"/>
        </w:rPr>
        <w:t>/2014 Análisis Financiero y Presupuestal.</w:t>
      </w:r>
      <w:r w:rsidRPr="00674CFE">
        <w:rPr>
          <w:rFonts w:ascii="Calibri" w:eastAsia="Times New Roman" w:hAnsi="Calibri" w:cs="Calibri"/>
          <w:b/>
          <w:bCs/>
          <w:color w:val="444444"/>
          <w:sz w:val="27"/>
          <w:szCs w:val="27"/>
          <w:u w:val="single"/>
          <w:lang w:eastAsia="es-MX"/>
        </w:rPr>
        <w:t xml:space="preserve"> Complemento  Entrega de Presupuesto de Ingresos y Egresos 2014.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a: Presidentes y Tesoreros Municipales y Directores de Sistemas de Agua Potable.</w:t>
      </w:r>
    </w:p>
    <w:bookmarkEnd w:id="0"/>
    <w:p w:rsidR="00DE2036" w:rsidRPr="00DE2036" w:rsidRDefault="00DE2036" w:rsidP="00DE2036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Calibri"/>
          <w:color w:val="444444"/>
          <w:sz w:val="16"/>
          <w:szCs w:val="16"/>
          <w:lang w:eastAsia="es-MX"/>
        </w:rPr>
      </w:pPr>
    </w:p>
    <w:p w:rsidR="00DE2036" w:rsidRPr="00DE2036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Se emite la presente circular con la finalidad de aclarar dudas que se nos han manifestado por Ustedes respecto de la forma de presentar sus 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u w:val="single"/>
          <w:lang w:eastAsia="es-MX"/>
        </w:rPr>
        <w:t>Presupuestos definitivos 2014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:</w:t>
      </w:r>
    </w:p>
    <w:p w:rsidR="00DE2036" w:rsidRPr="00DE2036" w:rsidRDefault="00DE2036" w:rsidP="00DE2036">
      <w:pPr>
        <w:shd w:val="clear" w:color="auto" w:fill="FFFFFF"/>
        <w:spacing w:after="324" w:line="240" w:lineRule="auto"/>
        <w:jc w:val="both"/>
        <w:rPr>
          <w:rFonts w:ascii="Calibri" w:eastAsia="Times New Roman" w:hAnsi="Calibri" w:cs="Calibri"/>
          <w:color w:val="444444"/>
          <w:sz w:val="16"/>
          <w:szCs w:val="16"/>
          <w:lang w:eastAsia="es-MX"/>
        </w:rPr>
      </w:pPr>
    </w:p>
    <w:p w:rsidR="00DE2036" w:rsidRPr="00DE2036" w:rsidRDefault="00DE2036" w:rsidP="00DE2036">
      <w:pPr>
        <w:shd w:val="clear" w:color="auto" w:fill="FFFFFF"/>
        <w:spacing w:after="324" w:line="319" w:lineRule="atLeast"/>
        <w:ind w:hanging="360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1.</w:t>
      </w:r>
      <w:r w:rsidRPr="00DE2036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   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Los Presupuestos definitivos 2014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a los que refiere la Circular 17, son aquellos que 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cumplen con las Normas de Armonización Contable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y que ya fueron capturados en el SAACG.Net.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ind w:hanging="360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DE2036" w:rsidRPr="00DE2036" w:rsidRDefault="00DE2036" w:rsidP="00DE2036">
      <w:pPr>
        <w:shd w:val="clear" w:color="auto" w:fill="FFFFFF"/>
        <w:spacing w:after="324" w:line="319" w:lineRule="atLeast"/>
        <w:ind w:hanging="360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2.</w:t>
      </w:r>
      <w:r w:rsidRPr="00DE2036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   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La autorización de los Presupuestos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debe ser para 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los Municipios por el Cabildo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; y para 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los Sistemas Municipales de Agua Potable por el Consejo Directivo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correspondiente.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ind w:hanging="360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DE2036" w:rsidRPr="00DE2036" w:rsidRDefault="00DE2036" w:rsidP="00DE2036">
      <w:pPr>
        <w:shd w:val="clear" w:color="auto" w:fill="FFFFFF"/>
        <w:spacing w:after="324" w:line="319" w:lineRule="atLeast"/>
        <w:ind w:hanging="360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3.</w:t>
      </w:r>
      <w:r w:rsidRPr="00DE2036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   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Deberán presentar “todos Ustedes” los Presupuestos definitivos 2014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bajo el esquema que se da a conocer en la Circular 17 (incluir CD).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Para aquellos entes que tienen dudas sobre el llenado de los Presupuestos 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(Norma CONAC) se les convoca asistir  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el día jueves 08 de mayo de 2014 en punto de las 10.00 </w:t>
      </w:r>
      <w:proofErr w:type="spellStart"/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hrs</w:t>
      </w:r>
      <w:proofErr w:type="spellEnd"/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., en la Sala de Capacitación de la Auditoría Superior del Estado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 </w:t>
      </w:r>
      <w:r w:rsidRPr="00DE2036">
        <w:rPr>
          <w:rFonts w:ascii="Calibri" w:eastAsia="Times New Roman" w:hAnsi="Calibri" w:cs="Calibri"/>
          <w:color w:val="444444"/>
          <w:sz w:val="23"/>
          <w:szCs w:val="23"/>
          <w:u w:val="single"/>
          <w:lang w:eastAsia="es-MX"/>
        </w:rPr>
        <w:t>con su equipo de cómputo y sus archivos de plantillas de ingresos y egresos definitivos, por cuestiones de espacio le pedimos sólo acudir la persona que va a integrar el Presupuesto.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Atentamente 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Dpto. Análisis Financiero y Presupuestal </w:t>
      </w:r>
    </w:p>
    <w:tbl>
      <w:tblPr>
        <w:tblpPr w:leftFromText="141" w:rightFromText="141" w:vertAnchor="text" w:horzAnchor="page" w:tblpX="7741" w:tblpY="50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434"/>
      </w:tblGrid>
      <w:tr w:rsidR="00DE2036" w:rsidRPr="00DE2036" w:rsidTr="00DE203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DE2036" w:rsidRPr="00DE2036" w:rsidRDefault="00DE2036" w:rsidP="00DE2036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DE2036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DE2036" w:rsidRPr="00DE2036" w:rsidRDefault="00DE2036" w:rsidP="00DE2036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DE203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miércoles, 30 de abril de 2014</w:t>
            </w:r>
          </w:p>
        </w:tc>
      </w:tr>
    </w:tbl>
    <w:p w:rsidR="00DE2036" w:rsidRPr="00DE2036" w:rsidRDefault="00DE2036" w:rsidP="00DE2036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 xml:space="preserve"> Dir. Auditoría Financiera a Municipios</w:t>
      </w:r>
    </w:p>
    <w:p w:rsidR="00E77A43" w:rsidRDefault="00DE2036" w:rsidP="00DE2036">
      <w:pPr>
        <w:shd w:val="clear" w:color="auto" w:fill="FFFFFF"/>
        <w:spacing w:after="324" w:line="319" w:lineRule="atLeast"/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lastRenderedPageBreak/>
        <w:t>Auditoría Superior del Estado</w:t>
      </w:r>
    </w:p>
    <w:sectPr w:rsidR="00E77A43" w:rsidSect="00DE2036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6"/>
    <w:rsid w:val="00674CFE"/>
    <w:rsid w:val="00DE2036"/>
    <w:rsid w:val="00E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E2036"/>
  </w:style>
  <w:style w:type="paragraph" w:customStyle="1" w:styleId="ecxmsolistparagraph">
    <w:name w:val="ecxmsolistparagraph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E2036"/>
  </w:style>
  <w:style w:type="paragraph" w:customStyle="1" w:styleId="ecxmsolistparagraph">
    <w:name w:val="ecxmsolistparagraph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2014-05-21T23:20:00Z</dcterms:created>
  <dcterms:modified xsi:type="dcterms:W3CDTF">2015-05-28T20:11:00Z</dcterms:modified>
</cp:coreProperties>
</file>